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C73" w:rsidRPr="00543C73" w:rsidRDefault="003E6CE5" w:rsidP="00543C73">
      <w:pPr>
        <w:jc w:val="center"/>
        <w:rPr>
          <w:b/>
          <w:sz w:val="24"/>
        </w:rPr>
      </w:pPr>
      <w:bookmarkStart w:id="0" w:name="_GoBack"/>
      <w:r>
        <w:rPr>
          <w:b/>
          <w:sz w:val="24"/>
        </w:rPr>
        <w:t>Berries can significantly reduce cardiovascular disease</w:t>
      </w:r>
    </w:p>
    <w:bookmarkEnd w:id="0"/>
    <w:p w:rsidR="00BB5D0E" w:rsidRPr="00543C73" w:rsidRDefault="003E6CE5" w:rsidP="0092727D">
      <w:pPr>
        <w:spacing w:line="240" w:lineRule="auto"/>
      </w:pPr>
      <w:r>
        <w:t xml:space="preserve">A </w:t>
      </w:r>
      <w:r w:rsidR="009950A5" w:rsidRPr="00543C73">
        <w:t xml:space="preserve">new review has shown that eating berries can </w:t>
      </w:r>
      <w:r>
        <w:t>play a key role</w:t>
      </w:r>
      <w:r w:rsidR="009950A5" w:rsidRPr="00543C73">
        <w:t xml:space="preserve"> </w:t>
      </w:r>
      <w:r>
        <w:t>in</w:t>
      </w:r>
      <w:r w:rsidR="009950A5" w:rsidRPr="00543C73">
        <w:t xml:space="preserve"> protecting heart health.</w:t>
      </w:r>
    </w:p>
    <w:p w:rsidR="009950A5" w:rsidRPr="00543C73" w:rsidRDefault="00543C73" w:rsidP="0092727D">
      <w:pPr>
        <w:spacing w:line="240" w:lineRule="auto"/>
      </w:pPr>
      <w:r>
        <w:t>Berries are high in anthocyanins -</w:t>
      </w:r>
      <w:r w:rsidR="009950A5" w:rsidRPr="00543C73">
        <w:t xml:space="preserve"> plant-pigments which give berries their distinct blue/red colouration</w:t>
      </w:r>
      <w:r>
        <w:t xml:space="preserve"> -</w:t>
      </w:r>
      <w:r w:rsidR="009950A5" w:rsidRPr="00543C73">
        <w:t xml:space="preserve"> and are uniquely found in both the skin and flesh of berries unlike just the skin of other fruits. </w:t>
      </w:r>
    </w:p>
    <w:p w:rsidR="009950A5" w:rsidRPr="00543C73" w:rsidRDefault="009950A5" w:rsidP="0092727D">
      <w:pPr>
        <w:spacing w:line="240" w:lineRule="auto"/>
      </w:pPr>
      <w:r w:rsidRPr="00543C73">
        <w:t xml:space="preserve">The new review, published in Molecular Aspects of Medicine, </w:t>
      </w:r>
      <w:r w:rsidRPr="00543C73">
        <w:rPr>
          <w:rStyle w:val="FootnoteReference"/>
        </w:rPr>
        <w:footnoteReference w:id="1"/>
      </w:r>
      <w:r w:rsidRPr="00543C73">
        <w:t xml:space="preserve">found that incorporating a few portions of fruits rich in anthocyanin, such as berries, into the diet could help to significantly reduce cardiovascular disease risk, including strokes, fatal heart attacks and high blood pressure. There is also evidence that anthocyanins can give gut health a boost. </w:t>
      </w:r>
    </w:p>
    <w:p w:rsidR="009950A5" w:rsidRPr="00543C73" w:rsidRDefault="009950A5" w:rsidP="0092727D">
      <w:pPr>
        <w:widowControl w:val="0"/>
        <w:autoSpaceDE w:val="0"/>
        <w:autoSpaceDN w:val="0"/>
        <w:adjustRightInd w:val="0"/>
        <w:spacing w:line="240" w:lineRule="auto"/>
        <w:rPr>
          <w:rFonts w:ascii="Calibri" w:hAnsi="Calibri" w:cs="Calibri"/>
          <w:color w:val="262626"/>
        </w:rPr>
      </w:pPr>
      <w:r w:rsidRPr="00543C73">
        <w:rPr>
          <w:rFonts w:ascii="Calibri" w:hAnsi="Calibri" w:cs="Calibri"/>
          <w:b/>
          <w:color w:val="262626"/>
        </w:rPr>
        <w:t xml:space="preserve">Dr Emma Derbyshire, Public Health Nutritionist and adviser to British Summer Fruits </w:t>
      </w:r>
      <w:r w:rsidR="00543C73">
        <w:rPr>
          <w:rFonts w:ascii="Calibri" w:hAnsi="Calibri" w:cs="Calibri"/>
          <w:b/>
          <w:color w:val="262626"/>
        </w:rPr>
        <w:t xml:space="preserve">said: </w:t>
      </w:r>
      <w:r w:rsidRPr="00543C73">
        <w:rPr>
          <w:rFonts w:ascii="Calibri" w:hAnsi="Calibri" w:cs="Calibri"/>
          <w:color w:val="262626"/>
        </w:rPr>
        <w:t>“Rates of cardiovascular disease are all an all-time high with 420 people in the UK losing their lives daily due to this.</w:t>
      </w:r>
      <w:r w:rsidRPr="00543C73">
        <w:rPr>
          <w:rStyle w:val="FootnoteReference"/>
          <w:rFonts w:ascii="Calibri" w:hAnsi="Calibri" w:cs="Calibri"/>
          <w:color w:val="262626"/>
        </w:rPr>
        <w:footnoteReference w:id="2"/>
      </w:r>
      <w:r w:rsidRPr="00543C73">
        <w:rPr>
          <w:rFonts w:ascii="Calibri" w:hAnsi="Calibri" w:cs="Calibri"/>
          <w:color w:val="262626"/>
        </w:rPr>
        <w:t xml:space="preserve">  It has long been known eating fruit and vegetables is great for heart health but this research really emphasises the importance of eating an array of fruit and vegetables and COLOURED varieties including berries”.</w:t>
      </w:r>
    </w:p>
    <w:p w:rsidR="009950A5" w:rsidRPr="00543C73" w:rsidRDefault="009950A5" w:rsidP="0092727D">
      <w:pPr>
        <w:widowControl w:val="0"/>
        <w:autoSpaceDE w:val="0"/>
        <w:autoSpaceDN w:val="0"/>
        <w:adjustRightInd w:val="0"/>
        <w:spacing w:line="240" w:lineRule="auto"/>
        <w:rPr>
          <w:rFonts w:ascii="Calibri" w:hAnsi="Calibri" w:cs="Calibri"/>
          <w:color w:val="262626"/>
        </w:rPr>
      </w:pPr>
      <w:r w:rsidRPr="00543C73">
        <w:rPr>
          <w:rFonts w:ascii="Calibri" w:hAnsi="Calibri" w:cs="Calibri"/>
          <w:color w:val="262626"/>
        </w:rPr>
        <w:t>“In Australia</w:t>
      </w:r>
      <w:r w:rsidRPr="00543C73">
        <w:rPr>
          <w:rStyle w:val="FootnoteReference"/>
          <w:rFonts w:ascii="Calibri" w:hAnsi="Calibri" w:cs="Calibri"/>
          <w:color w:val="262626"/>
        </w:rPr>
        <w:footnoteReference w:id="3"/>
      </w:r>
      <w:r w:rsidRPr="00543C73">
        <w:rPr>
          <w:rFonts w:ascii="Calibri" w:hAnsi="Calibri" w:cs="Calibri"/>
          <w:color w:val="262626"/>
        </w:rPr>
        <w:t xml:space="preserve"> residents are encouraged to “eat a rainbow” and in Norway berries are encouraged as part of fruit and vegetable guidelines.  This new paper adds to the body of evidence that berries really are great for our health”.</w:t>
      </w:r>
    </w:p>
    <w:p w:rsidR="009950A5" w:rsidRPr="00543C73" w:rsidRDefault="009950A5" w:rsidP="00543C73">
      <w:pPr>
        <w:spacing w:line="360" w:lineRule="auto"/>
      </w:pPr>
    </w:p>
    <w:p w:rsidR="009950A5" w:rsidRDefault="009950A5">
      <w:r>
        <w:t>ENDS</w:t>
      </w:r>
    </w:p>
    <w:p w:rsidR="009950A5" w:rsidRPr="00B56C53" w:rsidRDefault="009950A5" w:rsidP="009950A5">
      <w:pPr>
        <w:widowControl w:val="0"/>
        <w:autoSpaceDE w:val="0"/>
        <w:autoSpaceDN w:val="0"/>
        <w:adjustRightInd w:val="0"/>
        <w:rPr>
          <w:rFonts w:cstheme="minorHAnsi"/>
          <w:b/>
          <w:sz w:val="24"/>
          <w:szCs w:val="24"/>
        </w:rPr>
      </w:pPr>
      <w:r>
        <w:rPr>
          <w:rFonts w:cstheme="minorHAnsi"/>
          <w:b/>
          <w:sz w:val="24"/>
          <w:szCs w:val="24"/>
        </w:rPr>
        <w:t>Notes to editors:</w:t>
      </w:r>
    </w:p>
    <w:p w:rsidR="009950A5" w:rsidRPr="009950A5" w:rsidRDefault="009950A5" w:rsidP="009950A5">
      <w:pPr>
        <w:pStyle w:val="ListParagraph"/>
        <w:numPr>
          <w:ilvl w:val="0"/>
          <w:numId w:val="1"/>
        </w:numPr>
        <w:spacing w:after="200"/>
        <w:rPr>
          <w:rFonts w:asciiTheme="minorHAnsi" w:hAnsiTheme="minorHAnsi" w:cstheme="minorHAnsi"/>
        </w:rPr>
      </w:pPr>
      <w:r w:rsidRPr="009950A5">
        <w:rPr>
          <w:rFonts w:asciiTheme="minorHAnsi" w:hAnsiTheme="minorHAnsi" w:cstheme="minorHAnsi"/>
        </w:rPr>
        <w:t>Cardiovascular disease is defined as conditions affecting the heart and blood vessels including heart attacks and strokes.</w:t>
      </w:r>
      <w:r w:rsidRPr="009950A5">
        <w:rPr>
          <w:rStyle w:val="FootnoteReference"/>
          <w:rFonts w:asciiTheme="minorHAnsi" w:hAnsiTheme="minorHAnsi" w:cstheme="minorHAnsi"/>
        </w:rPr>
        <w:footnoteReference w:id="4"/>
      </w:r>
    </w:p>
    <w:p w:rsidR="009950A5" w:rsidRPr="009950A5" w:rsidRDefault="009950A5" w:rsidP="009950A5">
      <w:pPr>
        <w:pStyle w:val="ListParagraph"/>
        <w:spacing w:after="200"/>
        <w:ind w:left="360"/>
        <w:rPr>
          <w:rFonts w:asciiTheme="minorHAnsi" w:hAnsiTheme="minorHAnsi" w:cstheme="minorHAnsi"/>
        </w:rPr>
      </w:pPr>
    </w:p>
    <w:p w:rsidR="009950A5" w:rsidRDefault="009950A5" w:rsidP="009950A5">
      <w:pPr>
        <w:pStyle w:val="ListParagraph"/>
        <w:numPr>
          <w:ilvl w:val="0"/>
          <w:numId w:val="1"/>
        </w:numPr>
        <w:spacing w:after="200"/>
        <w:rPr>
          <w:rFonts w:asciiTheme="minorHAnsi" w:hAnsiTheme="minorHAnsi" w:cstheme="minorHAnsi"/>
        </w:rPr>
      </w:pPr>
      <w:r w:rsidRPr="002612F8">
        <w:rPr>
          <w:rFonts w:asciiTheme="minorHAnsi" w:hAnsiTheme="minorHAnsi" w:cstheme="minorHAnsi"/>
        </w:rPr>
        <w:t>Norway</w:t>
      </w:r>
      <w:r w:rsidRPr="002612F8">
        <w:rPr>
          <w:rStyle w:val="FootnoteReference"/>
          <w:rFonts w:asciiTheme="minorHAnsi" w:hAnsiTheme="minorHAnsi" w:cstheme="minorHAnsi"/>
        </w:rPr>
        <w:footnoteReference w:id="5"/>
      </w:r>
      <w:r w:rsidRPr="002612F8">
        <w:rPr>
          <w:rFonts w:asciiTheme="minorHAnsi" w:hAnsiTheme="minorHAnsi" w:cstheme="minorHAnsi"/>
        </w:rPr>
        <w:t xml:space="preserve"> appears to be leading the way advising that residents should: </w:t>
      </w:r>
      <w:r w:rsidRPr="002612F8">
        <w:rPr>
          <w:rFonts w:asciiTheme="minorHAnsi" w:hAnsiTheme="minorHAnsi" w:cstheme="minorHAnsi"/>
          <w:i/>
        </w:rPr>
        <w:t>“Have a varied diet with plenty</w:t>
      </w:r>
      <w:r w:rsidRPr="00FD4B4A">
        <w:rPr>
          <w:rFonts w:asciiTheme="minorHAnsi" w:hAnsiTheme="minorHAnsi" w:cstheme="minorHAnsi"/>
          <w:i/>
        </w:rPr>
        <w:t xml:space="preserve"> of vegetables, fruit and berries, wholegrain products and fish, and limited amounts of processed meat, red meat, </w:t>
      </w:r>
      <w:r>
        <w:rPr>
          <w:rFonts w:asciiTheme="minorHAnsi" w:hAnsiTheme="minorHAnsi" w:cstheme="minorHAnsi"/>
          <w:i/>
        </w:rPr>
        <w:t>and salt and sugar</w:t>
      </w:r>
      <w:r w:rsidRPr="00FD4B4A">
        <w:rPr>
          <w:rFonts w:asciiTheme="minorHAnsi" w:hAnsiTheme="minorHAnsi" w:cstheme="minorHAnsi"/>
          <w:i/>
        </w:rPr>
        <w:t>”</w:t>
      </w:r>
      <w:r>
        <w:rPr>
          <w:rFonts w:asciiTheme="minorHAnsi" w:hAnsiTheme="minorHAnsi" w:cstheme="minorHAnsi"/>
          <w:i/>
        </w:rPr>
        <w:t xml:space="preserve"> </w:t>
      </w:r>
      <w:r w:rsidRPr="00FD4B4A">
        <w:rPr>
          <w:rFonts w:asciiTheme="minorHAnsi" w:hAnsiTheme="minorHAnsi" w:cstheme="minorHAnsi"/>
          <w:i/>
        </w:rPr>
        <w:t>and “Eat at least five portions of vegetables, fruits and berries each day</w:t>
      </w:r>
      <w:r w:rsidRPr="00FD4B4A">
        <w:rPr>
          <w:rFonts w:asciiTheme="minorHAnsi" w:hAnsiTheme="minorHAnsi" w:cstheme="minorHAnsi"/>
        </w:rPr>
        <w:t xml:space="preserve">”.  </w:t>
      </w:r>
      <w:r w:rsidRPr="00FD4B4A">
        <w:rPr>
          <w:rFonts w:asciiTheme="minorHAnsi" w:hAnsiTheme="minorHAnsi" w:cstheme="minorHAnsi"/>
          <w:b/>
        </w:rPr>
        <w:t>Other counties including the UK fail to identify specific fruits with health benefits within their dietary guidelines</w:t>
      </w:r>
      <w:r w:rsidRPr="00FD4B4A">
        <w:rPr>
          <w:rFonts w:asciiTheme="minorHAnsi" w:hAnsiTheme="minorHAnsi" w:cstheme="minorHAnsi"/>
        </w:rPr>
        <w:t>.</w:t>
      </w:r>
    </w:p>
    <w:p w:rsidR="009950A5" w:rsidRDefault="009950A5" w:rsidP="009950A5">
      <w:pPr>
        <w:pStyle w:val="ListParagraph"/>
        <w:spacing w:after="200"/>
        <w:ind w:left="360"/>
        <w:rPr>
          <w:rFonts w:asciiTheme="minorHAnsi" w:hAnsiTheme="minorHAnsi" w:cstheme="minorHAnsi"/>
        </w:rPr>
      </w:pPr>
      <w:r w:rsidRPr="00FD4B4A">
        <w:rPr>
          <w:rFonts w:asciiTheme="minorHAnsi" w:hAnsiTheme="minorHAnsi" w:cstheme="minorHAnsi"/>
        </w:rPr>
        <w:t xml:space="preserve">  </w:t>
      </w:r>
    </w:p>
    <w:p w:rsidR="009950A5" w:rsidRDefault="009950A5" w:rsidP="009950A5">
      <w:pPr>
        <w:pStyle w:val="ListParagraph"/>
        <w:numPr>
          <w:ilvl w:val="0"/>
          <w:numId w:val="1"/>
        </w:numPr>
        <w:spacing w:after="200"/>
        <w:rPr>
          <w:rFonts w:asciiTheme="minorHAnsi" w:hAnsiTheme="minorHAnsi" w:cstheme="minorHAnsi"/>
        </w:rPr>
      </w:pPr>
      <w:r>
        <w:rPr>
          <w:rFonts w:asciiTheme="minorHAnsi" w:hAnsiTheme="minorHAnsi" w:cstheme="minorHAnsi"/>
        </w:rPr>
        <w:t>The anthocyanin content of berries is:</w:t>
      </w:r>
    </w:p>
    <w:p w:rsidR="009950A5" w:rsidRPr="00F266EA" w:rsidRDefault="009950A5" w:rsidP="009950A5">
      <w:pPr>
        <w:pStyle w:val="ListParagraph"/>
        <w:rPr>
          <w:rFonts w:asciiTheme="minorHAnsi" w:hAnsiTheme="minorHAnsi" w:cstheme="minorHAnsi"/>
        </w:rPr>
      </w:pPr>
    </w:p>
    <w:tbl>
      <w:tblPr>
        <w:tblStyle w:val="TableGrid"/>
        <w:tblW w:w="0" w:type="auto"/>
        <w:tblInd w:w="360" w:type="dxa"/>
        <w:tblLook w:val="04A0" w:firstRow="1" w:lastRow="0" w:firstColumn="1" w:lastColumn="0" w:noHBand="0" w:noVBand="1"/>
      </w:tblPr>
      <w:tblGrid>
        <w:gridCol w:w="1795"/>
        <w:gridCol w:w="1800"/>
        <w:gridCol w:w="1800"/>
      </w:tblGrid>
      <w:tr w:rsidR="009950A5" w:rsidTr="005B1264">
        <w:tc>
          <w:tcPr>
            <w:tcW w:w="1795" w:type="dxa"/>
          </w:tcPr>
          <w:p w:rsidR="009950A5" w:rsidRPr="00F266EA" w:rsidRDefault="009950A5" w:rsidP="005B1264">
            <w:pPr>
              <w:pStyle w:val="ListParagraph"/>
              <w:rPr>
                <w:rFonts w:asciiTheme="minorHAnsi" w:hAnsiTheme="minorHAnsi" w:cstheme="minorHAnsi"/>
                <w:b/>
              </w:rPr>
            </w:pPr>
            <w:r w:rsidRPr="00F266EA">
              <w:rPr>
                <w:rFonts w:asciiTheme="minorHAnsi" w:hAnsiTheme="minorHAnsi" w:cstheme="minorHAnsi"/>
                <w:b/>
              </w:rPr>
              <w:t>Berry</w:t>
            </w:r>
          </w:p>
        </w:tc>
        <w:tc>
          <w:tcPr>
            <w:tcW w:w="1800" w:type="dxa"/>
          </w:tcPr>
          <w:p w:rsidR="009950A5" w:rsidRPr="00F266EA" w:rsidRDefault="009950A5" w:rsidP="005B1264">
            <w:pPr>
              <w:pStyle w:val="ListParagraph"/>
              <w:rPr>
                <w:rFonts w:asciiTheme="minorHAnsi" w:hAnsiTheme="minorHAnsi" w:cstheme="minorHAnsi"/>
                <w:b/>
              </w:rPr>
            </w:pPr>
            <w:r>
              <w:rPr>
                <w:rFonts w:asciiTheme="minorHAnsi" w:hAnsiTheme="minorHAnsi" w:cstheme="minorHAnsi"/>
                <w:b/>
              </w:rPr>
              <w:t>Serving Size</w:t>
            </w:r>
          </w:p>
        </w:tc>
        <w:tc>
          <w:tcPr>
            <w:tcW w:w="1800" w:type="dxa"/>
          </w:tcPr>
          <w:p w:rsidR="009950A5" w:rsidRPr="00F266EA" w:rsidRDefault="009950A5" w:rsidP="005B1264">
            <w:pPr>
              <w:pStyle w:val="ListParagraph"/>
              <w:rPr>
                <w:rFonts w:asciiTheme="minorHAnsi" w:hAnsiTheme="minorHAnsi" w:cstheme="minorHAnsi"/>
                <w:b/>
              </w:rPr>
            </w:pPr>
            <w:r>
              <w:rPr>
                <w:rFonts w:asciiTheme="minorHAnsi" w:hAnsiTheme="minorHAnsi" w:cstheme="minorHAnsi"/>
                <w:b/>
              </w:rPr>
              <w:t>mg/serving</w:t>
            </w:r>
          </w:p>
        </w:tc>
      </w:tr>
      <w:tr w:rsidR="009950A5" w:rsidTr="005B1264">
        <w:tc>
          <w:tcPr>
            <w:tcW w:w="1795" w:type="dxa"/>
          </w:tcPr>
          <w:p w:rsidR="009950A5" w:rsidRDefault="009950A5" w:rsidP="005B1264">
            <w:pPr>
              <w:pStyle w:val="ListParagraph"/>
              <w:rPr>
                <w:rFonts w:asciiTheme="minorHAnsi" w:hAnsiTheme="minorHAnsi" w:cstheme="minorHAnsi"/>
              </w:rPr>
            </w:pPr>
            <w:r>
              <w:rPr>
                <w:rFonts w:asciiTheme="minorHAnsi" w:hAnsiTheme="minorHAnsi" w:cstheme="minorHAnsi"/>
              </w:rPr>
              <w:t>Blackberries</w:t>
            </w:r>
          </w:p>
        </w:tc>
        <w:tc>
          <w:tcPr>
            <w:tcW w:w="1800" w:type="dxa"/>
          </w:tcPr>
          <w:p w:rsidR="009950A5" w:rsidRDefault="009950A5" w:rsidP="005B1264">
            <w:pPr>
              <w:pStyle w:val="ListParagraph"/>
              <w:rPr>
                <w:rFonts w:asciiTheme="minorHAnsi" w:hAnsiTheme="minorHAnsi" w:cstheme="minorHAnsi"/>
              </w:rPr>
            </w:pPr>
            <w:r>
              <w:rPr>
                <w:rFonts w:asciiTheme="minorHAnsi" w:hAnsiTheme="minorHAnsi" w:cstheme="minorHAnsi"/>
              </w:rPr>
              <w:t>½ cup</w:t>
            </w:r>
          </w:p>
        </w:tc>
        <w:tc>
          <w:tcPr>
            <w:tcW w:w="1800" w:type="dxa"/>
          </w:tcPr>
          <w:p w:rsidR="009950A5" w:rsidRDefault="009950A5" w:rsidP="005B1264">
            <w:pPr>
              <w:pStyle w:val="ListParagraph"/>
              <w:rPr>
                <w:rFonts w:asciiTheme="minorHAnsi" w:hAnsiTheme="minorHAnsi" w:cstheme="minorHAnsi"/>
              </w:rPr>
            </w:pPr>
            <w:r>
              <w:rPr>
                <w:rFonts w:asciiTheme="minorHAnsi" w:hAnsiTheme="minorHAnsi" w:cstheme="minorHAnsi"/>
              </w:rPr>
              <w:t>70.4</w:t>
            </w:r>
          </w:p>
        </w:tc>
      </w:tr>
      <w:tr w:rsidR="009950A5" w:rsidTr="005B1264">
        <w:tc>
          <w:tcPr>
            <w:tcW w:w="1795" w:type="dxa"/>
          </w:tcPr>
          <w:p w:rsidR="009950A5" w:rsidRDefault="009950A5" w:rsidP="005B1264">
            <w:pPr>
              <w:pStyle w:val="ListParagraph"/>
              <w:rPr>
                <w:rFonts w:asciiTheme="minorHAnsi" w:hAnsiTheme="minorHAnsi" w:cstheme="minorHAnsi"/>
              </w:rPr>
            </w:pPr>
            <w:r>
              <w:rPr>
                <w:rFonts w:asciiTheme="minorHAnsi" w:hAnsiTheme="minorHAnsi" w:cstheme="minorHAnsi"/>
              </w:rPr>
              <w:t>Blueberries</w:t>
            </w:r>
          </w:p>
        </w:tc>
        <w:tc>
          <w:tcPr>
            <w:tcW w:w="1800" w:type="dxa"/>
          </w:tcPr>
          <w:p w:rsidR="009950A5" w:rsidRDefault="009950A5" w:rsidP="005B1264">
            <w:pPr>
              <w:pStyle w:val="ListParagraph"/>
              <w:rPr>
                <w:rFonts w:asciiTheme="minorHAnsi" w:hAnsiTheme="minorHAnsi" w:cstheme="minorHAnsi"/>
              </w:rPr>
            </w:pPr>
            <w:r>
              <w:rPr>
                <w:rFonts w:asciiTheme="minorHAnsi" w:hAnsiTheme="minorHAnsi" w:cstheme="minorHAnsi"/>
              </w:rPr>
              <w:t>½ cup</w:t>
            </w:r>
          </w:p>
        </w:tc>
        <w:tc>
          <w:tcPr>
            <w:tcW w:w="1800" w:type="dxa"/>
          </w:tcPr>
          <w:p w:rsidR="009950A5" w:rsidRDefault="009950A5" w:rsidP="005B1264">
            <w:pPr>
              <w:pStyle w:val="ListParagraph"/>
              <w:rPr>
                <w:rFonts w:asciiTheme="minorHAnsi" w:hAnsiTheme="minorHAnsi" w:cstheme="minorHAnsi"/>
              </w:rPr>
            </w:pPr>
            <w:r>
              <w:rPr>
                <w:rFonts w:asciiTheme="minorHAnsi" w:hAnsiTheme="minorHAnsi" w:cstheme="minorHAnsi"/>
              </w:rPr>
              <w:t>120.8</w:t>
            </w:r>
          </w:p>
        </w:tc>
      </w:tr>
      <w:tr w:rsidR="009950A5" w:rsidTr="005B1264">
        <w:tc>
          <w:tcPr>
            <w:tcW w:w="1795" w:type="dxa"/>
          </w:tcPr>
          <w:p w:rsidR="009950A5" w:rsidRDefault="009950A5" w:rsidP="005B1264">
            <w:pPr>
              <w:pStyle w:val="ListParagraph"/>
              <w:rPr>
                <w:rFonts w:asciiTheme="minorHAnsi" w:hAnsiTheme="minorHAnsi" w:cstheme="minorHAnsi"/>
              </w:rPr>
            </w:pPr>
            <w:r>
              <w:rPr>
                <w:rFonts w:asciiTheme="minorHAnsi" w:hAnsiTheme="minorHAnsi" w:cstheme="minorHAnsi"/>
              </w:rPr>
              <w:t>Raspberries</w:t>
            </w:r>
          </w:p>
        </w:tc>
        <w:tc>
          <w:tcPr>
            <w:tcW w:w="1800" w:type="dxa"/>
          </w:tcPr>
          <w:p w:rsidR="009950A5" w:rsidRDefault="009950A5" w:rsidP="005B1264">
            <w:pPr>
              <w:pStyle w:val="ListParagraph"/>
              <w:rPr>
                <w:rFonts w:asciiTheme="minorHAnsi" w:hAnsiTheme="minorHAnsi" w:cstheme="minorHAnsi"/>
              </w:rPr>
            </w:pPr>
            <w:r>
              <w:rPr>
                <w:rFonts w:asciiTheme="minorHAnsi" w:hAnsiTheme="minorHAnsi" w:cstheme="minorHAnsi"/>
              </w:rPr>
              <w:t>½ cup</w:t>
            </w:r>
          </w:p>
        </w:tc>
        <w:tc>
          <w:tcPr>
            <w:tcW w:w="1800" w:type="dxa"/>
          </w:tcPr>
          <w:p w:rsidR="009950A5" w:rsidRDefault="009950A5" w:rsidP="005B1264">
            <w:pPr>
              <w:pStyle w:val="ListParagraph"/>
              <w:rPr>
                <w:rFonts w:asciiTheme="minorHAnsi" w:hAnsiTheme="minorHAnsi" w:cstheme="minorHAnsi"/>
              </w:rPr>
            </w:pPr>
            <w:r>
              <w:rPr>
                <w:rFonts w:asciiTheme="minorHAnsi" w:hAnsiTheme="minorHAnsi" w:cstheme="minorHAnsi"/>
              </w:rPr>
              <w:t>30.2</w:t>
            </w:r>
          </w:p>
        </w:tc>
      </w:tr>
      <w:tr w:rsidR="009950A5" w:rsidTr="005B1264">
        <w:tc>
          <w:tcPr>
            <w:tcW w:w="1795" w:type="dxa"/>
          </w:tcPr>
          <w:p w:rsidR="009950A5" w:rsidRDefault="009950A5" w:rsidP="005B1264">
            <w:pPr>
              <w:pStyle w:val="ListParagraph"/>
              <w:rPr>
                <w:rFonts w:asciiTheme="minorHAnsi" w:hAnsiTheme="minorHAnsi" w:cstheme="minorHAnsi"/>
              </w:rPr>
            </w:pPr>
            <w:r>
              <w:rPr>
                <w:rFonts w:asciiTheme="minorHAnsi" w:hAnsiTheme="minorHAnsi" w:cstheme="minorHAnsi"/>
              </w:rPr>
              <w:t>Strawberries</w:t>
            </w:r>
          </w:p>
        </w:tc>
        <w:tc>
          <w:tcPr>
            <w:tcW w:w="1800" w:type="dxa"/>
          </w:tcPr>
          <w:p w:rsidR="009950A5" w:rsidRDefault="009950A5" w:rsidP="005B1264">
            <w:pPr>
              <w:pStyle w:val="ListParagraph"/>
              <w:rPr>
                <w:rFonts w:asciiTheme="minorHAnsi" w:hAnsiTheme="minorHAnsi" w:cstheme="minorHAnsi"/>
              </w:rPr>
            </w:pPr>
            <w:r>
              <w:rPr>
                <w:rFonts w:asciiTheme="minorHAnsi" w:hAnsiTheme="minorHAnsi" w:cstheme="minorHAnsi"/>
              </w:rPr>
              <w:t>½ cup</w:t>
            </w:r>
          </w:p>
        </w:tc>
        <w:tc>
          <w:tcPr>
            <w:tcW w:w="1800" w:type="dxa"/>
          </w:tcPr>
          <w:p w:rsidR="009950A5" w:rsidRDefault="009950A5" w:rsidP="005B1264">
            <w:pPr>
              <w:pStyle w:val="ListParagraph"/>
              <w:rPr>
                <w:rFonts w:asciiTheme="minorHAnsi" w:hAnsiTheme="minorHAnsi" w:cstheme="minorHAnsi"/>
              </w:rPr>
            </w:pPr>
            <w:r>
              <w:rPr>
                <w:rFonts w:asciiTheme="minorHAnsi" w:hAnsiTheme="minorHAnsi" w:cstheme="minorHAnsi"/>
              </w:rPr>
              <w:t>20.5</w:t>
            </w:r>
          </w:p>
        </w:tc>
      </w:tr>
    </w:tbl>
    <w:p w:rsidR="009950A5" w:rsidRDefault="009950A5" w:rsidP="009950A5">
      <w:pPr>
        <w:pStyle w:val="ListParagraph"/>
        <w:spacing w:after="200"/>
        <w:ind w:left="360"/>
        <w:rPr>
          <w:rFonts w:asciiTheme="minorHAnsi" w:hAnsiTheme="minorHAnsi" w:cstheme="minorHAnsi"/>
          <w:sz w:val="20"/>
          <w:szCs w:val="20"/>
        </w:rPr>
      </w:pPr>
      <w:r w:rsidRPr="002612F8">
        <w:rPr>
          <w:rFonts w:asciiTheme="minorHAnsi" w:hAnsiTheme="minorHAnsi" w:cstheme="minorHAnsi"/>
          <w:sz w:val="20"/>
          <w:szCs w:val="20"/>
        </w:rPr>
        <w:t>USDA Database for the Flavonoid Content of Selected Foods.</w:t>
      </w:r>
    </w:p>
    <w:p w:rsidR="009950A5" w:rsidRPr="002612F8" w:rsidRDefault="009950A5" w:rsidP="009950A5">
      <w:pPr>
        <w:pStyle w:val="ListParagraph"/>
        <w:spacing w:after="200"/>
        <w:ind w:left="360"/>
        <w:rPr>
          <w:rFonts w:asciiTheme="minorHAnsi" w:hAnsiTheme="minorHAnsi" w:cstheme="minorHAnsi"/>
          <w:sz w:val="20"/>
          <w:szCs w:val="20"/>
        </w:rPr>
      </w:pPr>
    </w:p>
    <w:p w:rsidR="009950A5" w:rsidRPr="002612F8" w:rsidRDefault="009950A5" w:rsidP="009950A5">
      <w:pPr>
        <w:pStyle w:val="ListParagraph"/>
        <w:numPr>
          <w:ilvl w:val="0"/>
          <w:numId w:val="2"/>
        </w:numPr>
        <w:spacing w:after="200"/>
        <w:rPr>
          <w:rFonts w:asciiTheme="minorHAnsi" w:hAnsiTheme="minorHAnsi" w:cstheme="minorHAnsi"/>
        </w:rPr>
      </w:pPr>
      <w:r w:rsidRPr="002612F8">
        <w:rPr>
          <w:rFonts w:asciiTheme="minorHAnsi" w:hAnsiTheme="minorHAnsi" w:cstheme="minorHAnsi"/>
        </w:rPr>
        <w:lastRenderedPageBreak/>
        <w:t xml:space="preserve">The colour/pigmentation of the fruit and vegetables that we eat could </w:t>
      </w:r>
      <w:r>
        <w:rPr>
          <w:rFonts w:asciiTheme="minorHAnsi" w:hAnsiTheme="minorHAnsi" w:cstheme="minorHAnsi"/>
        </w:rPr>
        <w:t xml:space="preserve">well </w:t>
      </w:r>
      <w:r w:rsidRPr="002612F8">
        <w:rPr>
          <w:rFonts w:asciiTheme="minorHAnsi" w:hAnsiTheme="minorHAnsi" w:cstheme="minorHAnsi"/>
        </w:rPr>
        <w:t xml:space="preserve">be </w:t>
      </w:r>
      <w:r>
        <w:rPr>
          <w:rFonts w:asciiTheme="minorHAnsi" w:hAnsiTheme="minorHAnsi" w:cstheme="minorHAnsi"/>
        </w:rPr>
        <w:t>as important as the amount that we eat.</w:t>
      </w:r>
    </w:p>
    <w:p w:rsidR="009950A5" w:rsidRPr="002612F8" w:rsidRDefault="009950A5" w:rsidP="009950A5">
      <w:pPr>
        <w:pStyle w:val="ListParagraph"/>
        <w:ind w:firstLine="240"/>
        <w:rPr>
          <w:rFonts w:asciiTheme="minorHAnsi" w:hAnsiTheme="minorHAnsi" w:cstheme="minorHAnsi"/>
        </w:rPr>
      </w:pPr>
    </w:p>
    <w:p w:rsidR="009950A5" w:rsidRPr="002612F8" w:rsidRDefault="009950A5" w:rsidP="009950A5">
      <w:pPr>
        <w:pStyle w:val="ListParagraph"/>
        <w:numPr>
          <w:ilvl w:val="0"/>
          <w:numId w:val="2"/>
        </w:numPr>
        <w:spacing w:after="200"/>
        <w:rPr>
          <w:rFonts w:asciiTheme="minorHAnsi" w:hAnsiTheme="minorHAnsi" w:cstheme="minorHAnsi"/>
          <w:b/>
          <w:sz w:val="24"/>
          <w:szCs w:val="24"/>
        </w:rPr>
      </w:pPr>
      <w:r w:rsidRPr="002612F8">
        <w:rPr>
          <w:rFonts w:asciiTheme="minorHAnsi" w:hAnsiTheme="minorHAnsi" w:cstheme="minorHAnsi"/>
        </w:rPr>
        <w:t>As evidence grows the UK may consider adding specific advice about berries to its fruit and vegetable guidelines.</w:t>
      </w:r>
      <w:r w:rsidRPr="002612F8">
        <w:rPr>
          <w:rFonts w:asciiTheme="minorHAnsi" w:hAnsiTheme="minorHAnsi" w:cstheme="minorHAnsi"/>
          <w:b/>
          <w:sz w:val="24"/>
          <w:szCs w:val="24"/>
        </w:rPr>
        <w:t xml:space="preserve"> </w:t>
      </w:r>
    </w:p>
    <w:p w:rsidR="001C2C9C" w:rsidRDefault="001C2C9C"/>
    <w:sectPr w:rsidR="001C2C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0A5" w:rsidRDefault="009950A5" w:rsidP="009950A5">
      <w:pPr>
        <w:spacing w:after="0" w:line="240" w:lineRule="auto"/>
      </w:pPr>
      <w:r>
        <w:separator/>
      </w:r>
    </w:p>
  </w:endnote>
  <w:endnote w:type="continuationSeparator" w:id="0">
    <w:p w:rsidR="009950A5" w:rsidRDefault="009950A5" w:rsidP="00995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0A5" w:rsidRDefault="009950A5" w:rsidP="009950A5">
      <w:pPr>
        <w:spacing w:after="0" w:line="240" w:lineRule="auto"/>
      </w:pPr>
      <w:r>
        <w:separator/>
      </w:r>
    </w:p>
  </w:footnote>
  <w:footnote w:type="continuationSeparator" w:id="0">
    <w:p w:rsidR="009950A5" w:rsidRDefault="009950A5" w:rsidP="009950A5">
      <w:pPr>
        <w:spacing w:after="0" w:line="240" w:lineRule="auto"/>
      </w:pPr>
      <w:r>
        <w:continuationSeparator/>
      </w:r>
    </w:p>
  </w:footnote>
  <w:footnote w:id="1">
    <w:p w:rsidR="009950A5" w:rsidRPr="009950A5" w:rsidRDefault="009950A5">
      <w:pPr>
        <w:pStyle w:val="FootnoteText"/>
        <w:rPr>
          <w:lang w:val="en-GB"/>
        </w:rPr>
      </w:pPr>
      <w:r>
        <w:rPr>
          <w:rStyle w:val="FootnoteReference"/>
        </w:rPr>
        <w:footnoteRef/>
      </w:r>
      <w:r>
        <w:t xml:space="preserve"> </w:t>
      </w:r>
      <w:hyperlink r:id="rId1" w:history="1">
        <w:r w:rsidRPr="002612F8">
          <w:rPr>
            <w:rFonts w:cstheme="minorHAnsi"/>
            <w:sz w:val="16"/>
            <w:szCs w:val="16"/>
            <w:lang w:eastAsia="en-GB"/>
          </w:rPr>
          <w:t>Cassidy A</w:t>
        </w:r>
      </w:hyperlink>
      <w:r w:rsidRPr="002612F8">
        <w:rPr>
          <w:rFonts w:cstheme="minorHAnsi"/>
          <w:sz w:val="16"/>
          <w:szCs w:val="16"/>
          <w:vertAlign w:val="superscript"/>
          <w:lang w:eastAsia="en-GB"/>
        </w:rPr>
        <w:t xml:space="preserve"> </w:t>
      </w:r>
      <w:r w:rsidRPr="002612F8">
        <w:rPr>
          <w:rFonts w:cstheme="minorHAnsi"/>
          <w:sz w:val="16"/>
          <w:szCs w:val="16"/>
          <w:lang w:eastAsia="en-GB"/>
        </w:rPr>
        <w:t xml:space="preserve">(2018) </w:t>
      </w:r>
      <w:r w:rsidRPr="002612F8">
        <w:rPr>
          <w:rFonts w:cstheme="minorHAnsi"/>
          <w:bCs/>
          <w:kern w:val="36"/>
          <w:sz w:val="16"/>
          <w:szCs w:val="16"/>
          <w:lang w:eastAsia="en-GB"/>
        </w:rPr>
        <w:t>Berry anthocyanin intake and cardiovascular health.</w:t>
      </w:r>
      <w:r w:rsidRPr="002612F8">
        <w:rPr>
          <w:rFonts w:cstheme="minorHAnsi"/>
          <w:sz w:val="16"/>
          <w:szCs w:val="16"/>
        </w:rPr>
        <w:t xml:space="preserve"> </w:t>
      </w:r>
      <w:hyperlink r:id="rId2" w:tooltip="Molecular aspects of medicine." w:history="1">
        <w:proofErr w:type="spellStart"/>
        <w:r w:rsidRPr="002612F8">
          <w:rPr>
            <w:rFonts w:cstheme="minorHAnsi"/>
            <w:sz w:val="16"/>
            <w:szCs w:val="16"/>
            <w:lang w:eastAsia="en-GB"/>
          </w:rPr>
          <w:t>Mol</w:t>
        </w:r>
        <w:proofErr w:type="spellEnd"/>
        <w:r w:rsidRPr="002612F8">
          <w:rPr>
            <w:rFonts w:cstheme="minorHAnsi"/>
            <w:sz w:val="16"/>
            <w:szCs w:val="16"/>
            <w:lang w:eastAsia="en-GB"/>
          </w:rPr>
          <w:t xml:space="preserve"> Aspects Med</w:t>
        </w:r>
      </w:hyperlink>
      <w:r w:rsidRPr="002612F8">
        <w:rPr>
          <w:rFonts w:cstheme="minorHAnsi"/>
          <w:sz w:val="16"/>
          <w:szCs w:val="16"/>
          <w:lang w:eastAsia="en-GB"/>
        </w:rPr>
        <w:t xml:space="preserve"> 61:76-82.</w:t>
      </w:r>
    </w:p>
  </w:footnote>
  <w:footnote w:id="2">
    <w:p w:rsidR="009950A5" w:rsidRPr="002612F8" w:rsidRDefault="009950A5" w:rsidP="009950A5">
      <w:pPr>
        <w:pStyle w:val="FootnoteText"/>
        <w:rPr>
          <w:rFonts w:cstheme="minorHAnsi"/>
          <w:sz w:val="16"/>
          <w:szCs w:val="16"/>
          <w:lang w:val="en-GB"/>
        </w:rPr>
      </w:pPr>
      <w:r w:rsidRPr="002612F8">
        <w:rPr>
          <w:rStyle w:val="FootnoteReference"/>
          <w:rFonts w:cstheme="minorHAnsi"/>
          <w:sz w:val="16"/>
          <w:szCs w:val="16"/>
        </w:rPr>
        <w:footnoteRef/>
      </w:r>
      <w:r w:rsidRPr="002612F8">
        <w:rPr>
          <w:rFonts w:cstheme="minorHAnsi"/>
          <w:sz w:val="16"/>
          <w:szCs w:val="16"/>
        </w:rPr>
        <w:t xml:space="preserve"> https://www.bhf.org.uk/research/heart-statistics</w:t>
      </w:r>
    </w:p>
  </w:footnote>
  <w:footnote w:id="3">
    <w:p w:rsidR="009950A5" w:rsidRPr="002612F8" w:rsidRDefault="009950A5" w:rsidP="009950A5">
      <w:pPr>
        <w:pStyle w:val="FootnoteText"/>
        <w:rPr>
          <w:rFonts w:cstheme="minorHAnsi"/>
          <w:sz w:val="16"/>
          <w:szCs w:val="16"/>
          <w:lang w:val="en-GB"/>
        </w:rPr>
      </w:pPr>
      <w:r w:rsidRPr="002612F8">
        <w:rPr>
          <w:rStyle w:val="FootnoteReference"/>
          <w:rFonts w:cstheme="minorHAnsi"/>
          <w:sz w:val="16"/>
          <w:szCs w:val="16"/>
        </w:rPr>
        <w:footnoteRef/>
      </w:r>
      <w:r w:rsidRPr="002612F8">
        <w:rPr>
          <w:rFonts w:cstheme="minorHAnsi"/>
          <w:sz w:val="16"/>
          <w:szCs w:val="16"/>
        </w:rPr>
        <w:t xml:space="preserve"> </w:t>
      </w:r>
      <w:hyperlink r:id="rId3" w:history="1">
        <w:r w:rsidRPr="002612F8">
          <w:rPr>
            <w:rStyle w:val="Hyperlink"/>
            <w:rFonts w:cstheme="minorHAnsi"/>
            <w:sz w:val="16"/>
            <w:szCs w:val="16"/>
          </w:rPr>
          <w:t>http://www.nutritionaustralia.org/national/resource/eat-rainbow</w:t>
        </w:r>
      </w:hyperlink>
    </w:p>
  </w:footnote>
  <w:footnote w:id="4">
    <w:p w:rsidR="009950A5" w:rsidRPr="002612F8" w:rsidRDefault="009950A5" w:rsidP="009950A5">
      <w:pPr>
        <w:pStyle w:val="FootnoteText"/>
        <w:rPr>
          <w:sz w:val="16"/>
          <w:szCs w:val="16"/>
          <w:lang w:val="en-GB"/>
        </w:rPr>
      </w:pPr>
      <w:r w:rsidRPr="002612F8">
        <w:rPr>
          <w:rStyle w:val="FootnoteReference"/>
          <w:sz w:val="16"/>
          <w:szCs w:val="16"/>
        </w:rPr>
        <w:footnoteRef/>
      </w:r>
      <w:r w:rsidRPr="002612F8">
        <w:rPr>
          <w:sz w:val="16"/>
          <w:szCs w:val="16"/>
        </w:rPr>
        <w:t xml:space="preserve"> http://www.euro.who.int/en/health-topics/noncommunicable-diseases/cardiovascular-diseases/cardiovascular-diseases2/definition-of-cardiovascular-diseases</w:t>
      </w:r>
    </w:p>
  </w:footnote>
  <w:footnote w:id="5">
    <w:p w:rsidR="009950A5" w:rsidRPr="002612F8" w:rsidRDefault="009950A5" w:rsidP="009950A5">
      <w:pPr>
        <w:pStyle w:val="ListParagraph"/>
        <w:rPr>
          <w:rFonts w:asciiTheme="minorHAnsi" w:hAnsiTheme="minorHAnsi" w:cstheme="minorHAnsi"/>
          <w:sz w:val="16"/>
          <w:szCs w:val="16"/>
        </w:rPr>
      </w:pPr>
      <w:r w:rsidRPr="002612F8">
        <w:rPr>
          <w:rStyle w:val="FootnoteReference"/>
          <w:rFonts w:asciiTheme="minorHAnsi" w:hAnsiTheme="minorHAnsi" w:cstheme="minorHAnsi"/>
          <w:sz w:val="16"/>
          <w:szCs w:val="16"/>
        </w:rPr>
        <w:footnoteRef/>
      </w:r>
      <w:r w:rsidRPr="002612F8">
        <w:rPr>
          <w:rFonts w:asciiTheme="minorHAnsi" w:hAnsiTheme="minorHAnsi" w:cstheme="minorHAnsi"/>
          <w:sz w:val="16"/>
          <w:szCs w:val="16"/>
        </w:rPr>
        <w:t xml:space="preserve"> </w:t>
      </w:r>
      <w:hyperlink r:id="rId4" w:history="1">
        <w:r w:rsidRPr="002612F8">
          <w:rPr>
            <w:rStyle w:val="Hyperlink"/>
            <w:rFonts w:asciiTheme="minorHAnsi" w:hAnsiTheme="minorHAnsi" w:cstheme="minorHAnsi"/>
            <w:sz w:val="16"/>
            <w:szCs w:val="16"/>
          </w:rPr>
          <w:t>http://www.fao.org/nutrition/education/food-based-dietary-guidelines/regions/countries/norway/en/</w:t>
        </w:r>
      </w:hyperlink>
      <w:r w:rsidRPr="002612F8">
        <w:rPr>
          <w:rFonts w:asciiTheme="minorHAnsi" w:hAnsiTheme="minorHAnsi" w:cstheme="minorHAnsi"/>
          <w:sz w:val="16"/>
          <w:szCs w:val="16"/>
        </w:rPr>
        <w:t xml:space="preserve">    </w:t>
      </w:r>
    </w:p>
    <w:p w:rsidR="009950A5" w:rsidRPr="002612F8" w:rsidRDefault="009950A5" w:rsidP="009950A5">
      <w:pPr>
        <w:pStyle w:val="FootnoteText"/>
        <w:rPr>
          <w:rFonts w:cstheme="minorHAnsi"/>
          <w:sz w:val="16"/>
          <w:szCs w:val="16"/>
          <w:lang w:val="en-G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7B20"/>
    <w:multiLevelType w:val="hybridMultilevel"/>
    <w:tmpl w:val="8C52C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4F05BFB"/>
    <w:multiLevelType w:val="hybridMultilevel"/>
    <w:tmpl w:val="DD604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0A5"/>
    <w:rsid w:val="00156498"/>
    <w:rsid w:val="001C2C9C"/>
    <w:rsid w:val="002E1499"/>
    <w:rsid w:val="003E6CE5"/>
    <w:rsid w:val="00543C73"/>
    <w:rsid w:val="005F332F"/>
    <w:rsid w:val="00637B74"/>
    <w:rsid w:val="0092727D"/>
    <w:rsid w:val="009950A5"/>
    <w:rsid w:val="00CE3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9AD855D-6BAB-4DD5-908D-4EEC30F7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50A5"/>
    <w:rPr>
      <w:color w:val="0563C1" w:themeColor="hyperlink"/>
      <w:u w:val="single"/>
    </w:rPr>
  </w:style>
  <w:style w:type="paragraph" w:styleId="FootnoteText">
    <w:name w:val="footnote text"/>
    <w:basedOn w:val="Normal"/>
    <w:link w:val="FootnoteTextChar"/>
    <w:uiPriority w:val="99"/>
    <w:semiHidden/>
    <w:unhideWhenUsed/>
    <w:rsid w:val="009950A5"/>
    <w:pPr>
      <w:spacing w:after="0" w:line="240" w:lineRule="auto"/>
    </w:pPr>
    <w:rPr>
      <w:rFonts w:eastAsiaTheme="minorEastAsia"/>
      <w:sz w:val="24"/>
      <w:szCs w:val="24"/>
      <w:lang w:val="en-US"/>
    </w:rPr>
  </w:style>
  <w:style w:type="character" w:customStyle="1" w:styleId="FootnoteTextChar">
    <w:name w:val="Footnote Text Char"/>
    <w:basedOn w:val="DefaultParagraphFont"/>
    <w:link w:val="FootnoteText"/>
    <w:uiPriority w:val="99"/>
    <w:semiHidden/>
    <w:rsid w:val="009950A5"/>
    <w:rPr>
      <w:rFonts w:eastAsiaTheme="minorEastAsia"/>
      <w:sz w:val="24"/>
      <w:szCs w:val="24"/>
      <w:lang w:val="en-US"/>
    </w:rPr>
  </w:style>
  <w:style w:type="character" w:styleId="FootnoteReference">
    <w:name w:val="footnote reference"/>
    <w:basedOn w:val="DefaultParagraphFont"/>
    <w:uiPriority w:val="99"/>
    <w:semiHidden/>
    <w:unhideWhenUsed/>
    <w:rsid w:val="009950A5"/>
    <w:rPr>
      <w:vertAlign w:val="superscript"/>
    </w:rPr>
  </w:style>
  <w:style w:type="paragraph" w:styleId="ListParagraph">
    <w:name w:val="List Paragraph"/>
    <w:basedOn w:val="Normal"/>
    <w:uiPriority w:val="34"/>
    <w:qFormat/>
    <w:rsid w:val="009950A5"/>
    <w:pPr>
      <w:spacing w:after="0" w:line="240" w:lineRule="auto"/>
      <w:contextualSpacing/>
    </w:pPr>
    <w:rPr>
      <w:rFonts w:ascii="Arial" w:hAnsi="Arial" w:cs="Arial"/>
    </w:rPr>
  </w:style>
  <w:style w:type="table" w:styleId="TableGrid">
    <w:name w:val="Table Grid"/>
    <w:basedOn w:val="TableNormal"/>
    <w:uiPriority w:val="39"/>
    <w:rsid w:val="00995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3C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C73"/>
  </w:style>
  <w:style w:type="paragraph" w:styleId="Footer">
    <w:name w:val="footer"/>
    <w:basedOn w:val="Normal"/>
    <w:link w:val="FooterChar"/>
    <w:uiPriority w:val="99"/>
    <w:unhideWhenUsed/>
    <w:rsid w:val="00543C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nutritionaustralia.org/national/resource/eat-rainbow" TargetMode="External"/><Relationship Id="rId2" Type="http://schemas.openxmlformats.org/officeDocument/2006/relationships/hyperlink" Target="https://www.ncbi.nlm.nih.gov/pubmed/28483533" TargetMode="External"/><Relationship Id="rId1" Type="http://schemas.openxmlformats.org/officeDocument/2006/relationships/hyperlink" Target="https://www.ncbi.nlm.nih.gov/pubmed/?term=Cassidy%20A%5BAuthor%5D&amp;cauthor=true&amp;cauthor_uid=28483533" TargetMode="External"/><Relationship Id="rId4" Type="http://schemas.openxmlformats.org/officeDocument/2006/relationships/hyperlink" Target="http://www.fao.org/nutrition/education/food-based-dietary-guidelines/regions/countries/norway/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D5ED4-7D3C-467C-BD29-BE92A8DB5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Dean</dc:creator>
  <cp:keywords/>
  <dc:description/>
  <cp:lastModifiedBy>Rosie Dean</cp:lastModifiedBy>
  <cp:revision>2</cp:revision>
  <dcterms:created xsi:type="dcterms:W3CDTF">2019-07-15T15:30:00Z</dcterms:created>
  <dcterms:modified xsi:type="dcterms:W3CDTF">2019-07-15T15:30:00Z</dcterms:modified>
</cp:coreProperties>
</file>